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be3ee71534dd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17013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ZABOK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6.233.503,60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1.830.343,39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5.083.634,39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1.863.938,21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33.594,82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1.351.009,49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1.351.009,49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3.733,03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175.383,72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175.383,72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201.140,28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212.711,57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poslovanja (šifra 3) u tekućem razdoblju veći su od prihoda (šifra 6), a odnose se na proknjižene rashode plaće sa 30.06.2025. u iznosu od 199.885,56 eura koji će biti podmireni isplatom plaće u srpnju 2025. godine  te proknjiženim materijalnim rashodima po pristiglim računima do predaje polugodišnjeg financijskog izvještaja za koje očekujemo prihod u srpnju 2025. Manjak od financijske imovine i zaduživanja u razdoblju od 01.siječnja do 30.06.2025. u iznosu od 175.383,00 eura odnosi se na otplatu dvije rate kredita prema HBOR-u, dok su primici utrošeni ranijih godina za izgradnju RCK-a.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1.044.284,09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1.286.942,22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proračunskim korisnicima iz proračuna koji im nije nadležan odnose se na plaće i materijalna prava u iznosu od 1.279.582,54 eura.  U prethodnom razdoblju ukupan iznos pomoći bio je 1.044.284,09 eura, a u sadašnjem 1.286.942,22 eura.  Za plaće i materijalna prava u referentnom razdoblju u 2025. godine doznačeno je 1.276.454,43 eura, te za mentorstva, aktive i higijenske potrepštine 3.128,11 eura , dok je iz JLS-a za plaće pomoćnika u nastavi doznačeno 7.359,68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3.860.290,17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15.756,80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podskupini 638 u izvještajnom razdoblju došlo je do značajnog umanjenja s obzirom na prethodno jer su u prošlom izvještajnom razdoblju doznačena odobrena sredstva po provjerama završenog EU projekta u 12/2023 godine  . Radi se o doznakama za Regionalni centar kompetencije u turizmu i ugostiteljstvu : ZPL 11 u iznosu od 589.464,23 eura i ZZNS-u u iznosu od 2.633.750,53 eura. Tekuće pomoći od MRRFEU-a  u istom razdoblju iznose 637.075,41 euro . U tekućem izvještajnom razdoblju na podskupini 638 evidentirana je doznaka od 15.756,80 eura , a odnosi se na ERASMUS KA122 što je isplata ostatka od 15%  do ukupno ugovorenog iznosa po uspješno završenom projektu ERASMUS-a  iz 2024.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prethodnom polugodišnjem razdoblju na odjeljku 6526 ostvaren je prihod u iznosu od 2.600 eura, a odnosi se na upisninu , odnosno povećane troškove obrazovanja. U 2025. godini taj prihod nismo ostvarili za isto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151.514,66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6862,0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prethodnom izvještajnom razdoblju prihodi ostvareni od pruženih usluga iznosili su 2.208,04 eura, dok su u tekućem izvještajnom razdoblju ostvareni prihodi 151.514,66 eura. Odnose se na prodaju usluga smještaja , ugostiteljskih usluga, i cateringa u Akademisu škole. Akademis je počeo sa radom krajem lipnja prethodne godine. Svrha Akademisa je učenje temeljeno na radu u stvarnim uvjetima i sa stvarnim gostima. U Akademisu se time ostvaruju prihodi na tržištu kao gospodarska djelatnost. Prihodi prelaze prag za ulazak u sustav PDV-a i škola postaje obveznikom PDV –a u 08/2024. godine. Prihodi ostvareni u polugodišnjem razdoblju 2025. godine u Akademisu iznose 145.404,66 eura. Prihodi ostvareni od najma prostora škole i sportske dvorane iznose 3.995,00 eura, dok je prihod od kotizacije za natjecanje worldskills na kojem smo bili domaćini , 1940,00 eura. Prihodi od pruženih usluga obrazovanje odraslih a navedeno polugodišnje razdoblje iznosi 175,00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1.174.285,48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, KZŽ, na odjeljku 6712 u prethodnom izvještajnom razdoblju iznosio  je 1.174.285,48 eura, a odnosi se na doznaku za izgradnju školske sportske dvorane i opremanje iste. Budući da je izgradnja i opremanje školske  sportske dvorane završeno krajem lipnja prethodne godine , u referentnom razdoblju 2025. godine na 6712 nema doznaka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izdataka za financijsku imovinu i otplatu zajmova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175.383,72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za financiranje izdataka za financijsku imovinu i otplatu zajmova  u 2025. godini odnosi se na doznaku sredstava za otplatu dvije rate kredita HBOR -a ( sa dospijećem  prve rate 30.03. 2025.  i  druge rate 30.06.2025. godine) u ukupnom iznosu od 175.383,72. U prethodnom razdoblju rate kredita još nisu dospjele zbog grace perioda kredita od 1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1.075.074,16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1.577.078,15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uvećani su 46,7% u odnosu na prethodno razdoblje. Razlog tomu je povećanje plaće prema TKU, povećanje rada u posebnim uvjetima rada s obzirom na prethodno razdoblje ( subota, nedjeljom - rad u Akademisu), povećanje prekovremenih sati zbog zamjena djelatnika koji su na bolovanjima, službenim putovanjima, tuzemnim i međunarodnim natjecanjima s učenicima . Uvećani su i ostali rashodi za zaposlene - materijalna prava , jubilarne nagrade, isplata otpremnine , pomoći za bolovanja iznad 90 dana.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10.625,83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52.723,76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Materijal i sirovine šifra 3222 povećana je u odnosu na prethodnu godinu istog izvještajnog razdoblja. U 2024. godini  je utrošeno 10.625,83 eura dok je u tekućem razdoblju potrošnja 52.723,76 eura. Razlogu tomu je povećana nabava i potrošnja  namirnica, materijala i sirovina u Akademisu u 2025. godini izvještajnog razdoblja u odnosu na prethodnu godinu zbog početka rada Akademisa  u lipnju 2024.  Potrebe materijala i namirnica za ugostiteljski kabinet u Akademisu gdje učenici obavljaju praksu kao  učenje temeljeno na radu i i gdje se obavlja  gospodarska djelatnost. Također nabava materijala , higijenskih potrepština za 11 smještajnih jedinica Akademisa 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9.694,55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16.429,73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Nabavljen sitni inventar u 2025, godini u izvještajnom razdoblju u vrijednosti od  69,5% više nego u prethodnom razdoblju za potrebe rada Akademisa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5.146,80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Usluge promidžbe i informiranja , šifra 3233 je u većem odstupanju  u odnosu na izvještajno razdoblje 2024. godine zbog oglašavanja smještajnih kapaciteta Akademisa putem Booking-a u prvih šest mjeseci 2025.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5.344,86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10.048,34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komunalnih usluga bilježe rast u 2025. godini u prvih 6 mjeseci od 88% u odnosu na prethodno izvještajno razdoblje najvećim dijelom zbog poskupljenja odvoza otpada pa je tako u prethodnom razdoblju trošak  odvoza smeća ( miješanog otpada, bio otpada, plastike, papira, kartona) bio 1.917,98 eura, a u tekućem 5.824,47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Ostale usluge na šifri 3239 bilježe rast u 2025. godini jer na toj poziciji evidentiramo usluge čuvanja imovine što u 2024. godini nismo imali u financijskom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bankarskih usluga i usluga platnog prometa od 53,8 % uzrokovano je većim brojem transakcija po žiro računu škole u referentnom razdoblju pa samim time i povećanjem troškova koje nam naplaćuje banka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financijski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nespomenuti financijski rashodi u prethodnom izvještajnom razdoblju iznosili su 0,60 eura dok su u istom razdoblju ove godine 1.310,45 eura. Odnose se na troškove kartičnih provizija , a radi se o plaćanju kreditnim karticama u Akademisu prilikom korištenja usluga smještaja i ugostiteljskih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3.551.808,84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prethodnom razdoblju 2024. godine  na računu 3693 tekući prijenosi između proračuna ostvaren je povrat revolving kredita u cijelosti prema našem osnivaču koji je bio strogo namijenjen za izgradnju Regionalnog centra kompetencije u turizmu i ugostiteljstvu.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22.954,92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Znatno smanjenje rashoda za kapitalne pomoći na šifri 38  uvjetovano je time što smo u prethodnom izvještajnom razdoblju imali obvezu doznaka partnerima na  projektu Regionalni centar kompetentnosti u turizmu i ugostiteljstvu. Budući da je isti završio , rashoda po toj osnovi  u 2025. godini nije bilo.  Iznos od 1.908,00 eura knjižen je na  odjeljku 3812 za higijenske menstrualne potrepštine prema Uputi.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199.885,56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Obračunati prihodi poslovanja na šifri 96 odnose se na plaću za lipanj 2025.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1.351.009,49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proizvedene dugotrajne imovine u prethodnom izvještajnom razdoblju iznose 1.351.009,49 eura zbog izgradnje školske sportske dvorane dok u tekućem izvještajnom razdoblju iznos od 3.733,03 odnosi se na računalo i opremu za ostale namjene za Akademis.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175.383,72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Izdaci za financijsku imovinu i otplatu zajmova odnose se na izdatak otplate kredita HBOR-a za izgradnju Regionalnog centra kompetencije .
1. rata plaćena u iznosu od 87.681,86 eura s dospijećem 30.03.2025.
2. rata plaćena u iznosu od 87.681,86 eura s dospijećem 30.06.20025.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Podmirene su sve dospjele obveze na kraju izvještajnog razdoblja sa 30.06.2025.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211.824,59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obveza na skupini 23 odnose se na podskupinu 231 - obveze za zaposlene u iznosu od 199.885,56 eura, plaća za lipanj koja dospijeva u srpnju 2025. Nadalje, podskupinu 232 - obveze za materijalne rashode u iznosu od 5.500,02 eura koja dospijeva na naplatu  u srpnju 2024., obvezu za podskupinu 239 - ostale tekuće obveze za porez na dodanu vrijednost koja dospijeva predajom obrasca na poreznu do 20. u srpnju 2025. u iznosu od 6.439,01 euro.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4.735.360,17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za financijsku imovinu podskupina 264 odnosi se na obvezu otplate kredita HBOR-a, a slijedeća rata s kamatom dospijeva na naplatu 30.09.2025.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16.403,58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Skupina 27 odnosi se na nedospjele obveze podskupine 271 - obveza za predujmove u iznosu od 2.379,95 eura, podskupine  272 - obveza za povrat jamstvenih pologa u iznosu od 7.125,34 eura   te na podskupinu 276 - obveza za povrat u proračun - bolovanje HZZO u iznosu od 6.898,29 eura.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345c8cc3bd44ed" /></Relationships>
</file>