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75A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75A40" w:rsidRDefault="00D1629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75A40" w:rsidRDefault="00D16298">
            <w:pPr>
              <w:spacing w:after="0" w:line="240" w:lineRule="auto"/>
            </w:pPr>
            <w:r>
              <w:t>17013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75A40" w:rsidRDefault="00D1629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75A40" w:rsidRDefault="00D16298">
            <w:pPr>
              <w:spacing w:after="0" w:line="240" w:lineRule="auto"/>
            </w:pPr>
            <w:r>
              <w:t>SREDNJA ŠKOLA ZABOK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75A40" w:rsidRDefault="00D1629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75A40" w:rsidRDefault="00D16298">
            <w:pPr>
              <w:spacing w:after="0" w:line="240" w:lineRule="auto"/>
            </w:pPr>
            <w:r>
              <w:t>31</w:t>
            </w:r>
          </w:p>
        </w:tc>
      </w:tr>
    </w:tbl>
    <w:p w:rsidR="00275A40" w:rsidRDefault="00D16298">
      <w:r>
        <w:br/>
      </w:r>
    </w:p>
    <w:p w:rsidR="00275A40" w:rsidRDefault="00D1629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75A40" w:rsidRDefault="00D1629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75A40" w:rsidRDefault="00D1629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75A40" w:rsidRDefault="00275A40"/>
    <w:p w:rsidR="00D16298" w:rsidRDefault="00D16298" w:rsidP="00D16298">
      <w:r>
        <w:t>Broj RKP-a : 17013</w:t>
      </w:r>
    </w:p>
    <w:p w:rsidR="00D16298" w:rsidRDefault="00D16298" w:rsidP="00D16298">
      <w:r>
        <w:t>Matični broj:  03799514</w:t>
      </w:r>
    </w:p>
    <w:p w:rsidR="00D16298" w:rsidRDefault="00D16298" w:rsidP="00D16298">
      <w:r>
        <w:t>OIB: 27822403513</w:t>
      </w:r>
    </w:p>
    <w:p w:rsidR="00D16298" w:rsidRDefault="00D16298" w:rsidP="00D16298">
      <w:r>
        <w:t xml:space="preserve">Naziv i adresa obveznika: SREDNJA ŠKOLA ZABOK, Ivana i Cvijete </w:t>
      </w:r>
      <w:proofErr w:type="spellStart"/>
      <w:r>
        <w:t>Huis</w:t>
      </w:r>
      <w:proofErr w:type="spellEnd"/>
      <w:r>
        <w:t xml:space="preserve"> 2 , 49210 Zabok</w:t>
      </w:r>
    </w:p>
    <w:p w:rsidR="00D16298" w:rsidRDefault="00D16298" w:rsidP="00D16298">
      <w:r>
        <w:t>Oznaka razine: 31</w:t>
      </w:r>
    </w:p>
    <w:p w:rsidR="00D16298" w:rsidRDefault="00D16298" w:rsidP="00D16298">
      <w:r>
        <w:t>Šifra djelatnosti, razdjel: 8532/ 000</w:t>
      </w:r>
    </w:p>
    <w:p w:rsidR="00D16298" w:rsidRDefault="00D16298" w:rsidP="00D16298">
      <w:r>
        <w:t>Šifra županije/grad/općine: 519</w:t>
      </w:r>
    </w:p>
    <w:p w:rsidR="00D16298" w:rsidRDefault="00D16298" w:rsidP="00D16298">
      <w:r>
        <w:t> </w:t>
      </w:r>
    </w:p>
    <w:p w:rsidR="00D16298" w:rsidRDefault="00D16298" w:rsidP="00D16298">
      <w:r>
        <w:t>Srednja škola Zabok djeluje kao javna ustanova srednjoškolskog odgoja i obrazovanja. Osnivač škole je Krapinsko - zagorska županija. </w:t>
      </w:r>
    </w:p>
    <w:p w:rsidR="00D16298" w:rsidRDefault="00D16298" w:rsidP="00D16298">
      <w:r>
        <w:t>Djelatnost škole je:</w:t>
      </w:r>
    </w:p>
    <w:p w:rsidR="00D16298" w:rsidRDefault="00D16298" w:rsidP="00D16298">
      <w:r>
        <w:t>-        Odgoj i obrazovanje za stjecanje srednje školske spreme i srednje stručne spreme i stjecanja znanja i sposobnosti za rad i nastavak školovanja u strukovnim trogodišnjim i četverogodišnjim obrazovnim programima</w:t>
      </w:r>
    </w:p>
    <w:p w:rsidR="00D16298" w:rsidRDefault="00D16298" w:rsidP="00D16298">
      <w:r>
        <w:t>-        Izvođenje programa obrazovanja odraslih</w:t>
      </w:r>
    </w:p>
    <w:p w:rsidR="00D16298" w:rsidRDefault="00D16298" w:rsidP="00D16298">
      <w:r>
        <w:t>Nastava se izvodi pet radnih dana tjedno u dvije smjene u skladu s godišnjim planom i programom rada na hrvatskom jeziku i latiničnom pismu. Programi  koji  se provode u školi zadovoljavaju potrebe šireg područja Krapinsko-zagorske županije, a izvode se putem predavanja, vježbi, radionica, terenske nastave, seminara, projektne nastave i drugih suvremenih oblika rada prema nastavnom planu i programu i školskom kurikulumu.</w:t>
      </w:r>
    </w:p>
    <w:p w:rsidR="00D16298" w:rsidRDefault="00D16298" w:rsidP="00D16298">
      <w:r>
        <w:t>U okviru reforme strukovnog obrazovanja provodi se i modularna nastava. </w:t>
      </w:r>
    </w:p>
    <w:p w:rsidR="00D16298" w:rsidRDefault="00D16298" w:rsidP="00D16298">
      <w:r>
        <w:t>Škola posluje u skladu sa Zakonom o odgoju i obrazovanju u osnovnoj i srednjoj školi (NN 87/0/, 86/09, 92/10, 105/10, 90/11, 5/12, 16/12, 86/12, 126/12, 94/13, 152/14, 07/17, 68/18, 98/19, 64/20, 151/22) te Statutom škole. </w:t>
      </w:r>
    </w:p>
    <w:p w:rsidR="00D16298" w:rsidRDefault="00D16298" w:rsidP="00D16298">
      <w:r>
        <w:lastRenderedPageBreak/>
        <w:t>Vodi proračunsko računovodstvo temeljem Pravilnika o proračunskom računovodstvu i Računskom planu, a financijske izvještaje sastavlja i predaje u skladu s odredbama Pravilnika o financijskom izvještavanju u proračunskom računovodstvu nakon što su proknjižene sve poslovne promjene, događaji i transakcije za razdoblje siječanj-prosinac 2025. na temelju vjerodostojne dokumentacije.</w:t>
      </w:r>
    </w:p>
    <w:p w:rsidR="00D16298" w:rsidRDefault="00D16298" w:rsidP="00D16298">
      <w:r>
        <w:t>Predaja financijskih izvještaja vrši se putem aplikacije RKPFI, na stranicama Ministarstva financija.</w:t>
      </w:r>
    </w:p>
    <w:p w:rsidR="00D16298" w:rsidRDefault="00D16298" w:rsidP="00D16298">
      <w:r>
        <w:t xml:space="preserve">Srednja škola Zabok, prema Izmjenama i dopunama Zakona o porezu na dodanu vrijednost, zbog ostvarenog prihoda od gospodarske djelatnosti u </w:t>
      </w:r>
      <w:proofErr w:type="spellStart"/>
      <w:r>
        <w:t>Akademisu</w:t>
      </w:r>
      <w:proofErr w:type="spellEnd"/>
      <w:r>
        <w:t xml:space="preserve"> većeg od 40.000,00 eura, što predstavlja prag za ulazak u sustav PDV-a, postala je obveznikom PDV-a u kolovozu 2024. godine te je zadržala isti status i u 2025. godini. </w:t>
      </w:r>
    </w:p>
    <w:p w:rsidR="00D16298" w:rsidRDefault="00D16298" w:rsidP="00D16298">
      <w:r>
        <w:t xml:space="preserve">Osoba odgovorna za sastavljanje financijskih izvještaja je voditeljica računovodstva Mihaela </w:t>
      </w:r>
      <w:proofErr w:type="spellStart"/>
      <w:r>
        <w:t>Bartolin</w:t>
      </w:r>
      <w:proofErr w:type="spellEnd"/>
      <w:r>
        <w:t xml:space="preserve"> </w:t>
      </w:r>
      <w:proofErr w:type="spellStart"/>
      <w:r>
        <w:t>Đukez</w:t>
      </w:r>
      <w:proofErr w:type="spellEnd"/>
      <w:r>
        <w:t xml:space="preserve">, a osoba odgovorna za predaju financijskih izvještaja je ravnateljica Draženka </w:t>
      </w:r>
      <w:proofErr w:type="spellStart"/>
      <w:r>
        <w:t>Jurec</w:t>
      </w:r>
      <w:proofErr w:type="spellEnd"/>
      <w:r>
        <w:t>.</w:t>
      </w:r>
    </w:p>
    <w:p w:rsidR="00D16298" w:rsidRDefault="00D16298">
      <w:pPr>
        <w:keepNext/>
        <w:spacing w:line="240" w:lineRule="auto"/>
        <w:jc w:val="center"/>
        <w:rPr>
          <w:b/>
          <w:sz w:val="28"/>
        </w:rPr>
      </w:pPr>
    </w:p>
    <w:p w:rsidR="00275A40" w:rsidRDefault="00D1629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7.778.527,54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3.787.378,20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48,7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6.693.527,88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3.708.829,56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1.084.999,66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78.548,64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7,2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1.661.266,35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41.819,11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1.661.266,35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41.819,11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2,5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350.767,44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350.767,44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576.266,69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314.037,91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54,5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br/>
      </w:r>
    </w:p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2.175.733,28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2.628.532,91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Iskazani prihod od 2.628.532,91 eura odnosi se na isplate plaće i ostalih materijalnih prava za zaposlene, školsku lektiru, nabavu higijenskih potrepština, prihode za pomoćnike u nastavi financirane 50% sredstvima JLS </w:t>
      </w:r>
      <w:proofErr w:type="spellStart"/>
      <w:r>
        <w:t>gte</w:t>
      </w:r>
      <w:proofErr w:type="spellEnd"/>
      <w:r>
        <w:t xml:space="preserve"> prihodima</w:t>
      </w:r>
    </w:p>
    <w:p w:rsidR="00275A40" w:rsidRDefault="00D16298">
      <w:r>
        <w:t>Povećanje se očituje u povećanju prihoda za plaće uslijed rasta prosječnog broja zaposlenih u izvještajnom razdoblju u odnosu na prethodnu godinu.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644.750,41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16.683,80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2,6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U 2024. je ostvareno 644.750,41 eura zbog doznake sredstava po zadnjem ZNS-u projekt </w:t>
      </w:r>
      <w:proofErr w:type="spellStart"/>
      <w:r>
        <w:t>ReCeZa</w:t>
      </w:r>
      <w:proofErr w:type="spellEnd"/>
      <w:r>
        <w:t xml:space="preserve"> te tekuća pomoći prema Ugovoru sa MRRFEU za Regionalni centar kompetencije. </w:t>
      </w:r>
    </w:p>
    <w:p w:rsidR="00275A40" w:rsidRDefault="00D16298">
      <w:r>
        <w:t xml:space="preserve">U 2025. godini iznos od 16.683,80 eura odnosi se na doznaku 20% sredstava nakon završnog izvješća </w:t>
      </w:r>
      <w:proofErr w:type="spellStart"/>
      <w:r>
        <w:t>Erasmus</w:t>
      </w:r>
      <w:proofErr w:type="spellEnd"/>
      <w:r>
        <w:t xml:space="preserve"> + KA122 projekta u iznosu 15.756,80 eura i 927,00 eura tekuće pomoći od Ministarstva vanjskih poslova i međunarodne suradnje, a za potrebe talijanskog lektora u nastavi.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3.223.214,76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U izvještajnom razdoblju nije bilo kapitalnih pomoći temeljem prijenosa EU </w:t>
      </w:r>
      <w:proofErr w:type="spellStart"/>
      <w:r>
        <w:t>sredtava</w:t>
      </w:r>
      <w:proofErr w:type="spellEnd"/>
      <w:r>
        <w:t xml:space="preserve"> po računu 6382. U 2024. je ostvareno 3.223.214,76 eura zbog doznake sredstava po zadnjem ZNS-u projekt </w:t>
      </w:r>
      <w:proofErr w:type="spellStart"/>
      <w:r>
        <w:t>ReCeZa</w:t>
      </w:r>
      <w:proofErr w:type="spellEnd"/>
      <w:r>
        <w:t xml:space="preserve"> te tekuća pomoći prema Ugovoru sa MRRFEU za Regionalni centar kompetencije.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4,5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Prihodi od imovine u iznosu 0,23 eura odnose se na prihod od financijske imovine, točnije pasivnu kamatu doznačenu s krajem poslovne godine.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16.454,91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2,6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Prihodi po posebnim propisima iznose 428,98 eura u 2025. godini, a odnose se na refundacije troškova od strane Županijskog športskog saveza kada je škola bila domaćin natjecanja te ostale prihode. </w:t>
      </w:r>
    </w:p>
    <w:p w:rsidR="00275A40" w:rsidRDefault="00D16298">
      <w:r>
        <w:t xml:space="preserve">Zabilježeno je značajno smanjenje u odnosu na 2024. godinu kada je </w:t>
      </w:r>
      <w:proofErr w:type="spellStart"/>
      <w:r>
        <w:t>uprihodovan</w:t>
      </w:r>
      <w:proofErr w:type="spellEnd"/>
      <w:r>
        <w:t xml:space="preserve"> 16.454,91 euro zbog toga što škola u 2025. godini nije fakturirala upisnine za povećane troškove školovanja kao što je to bio slučaj u 2024. godini.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171.444,77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354.825,51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Prihodi od prodaje proizvoda i robe te pruženih usluga – uspostavom rada </w:t>
      </w:r>
      <w:proofErr w:type="spellStart"/>
      <w:r>
        <w:t>Akademisa</w:t>
      </w:r>
      <w:proofErr w:type="spellEnd"/>
      <w:r>
        <w:t xml:space="preserve"> u 2024. , ostvareni su prihodi od noćenja , ugostiteljskih usluga te </w:t>
      </w:r>
      <w:proofErr w:type="spellStart"/>
      <w:r>
        <w:t>cateringa</w:t>
      </w:r>
      <w:proofErr w:type="spellEnd"/>
      <w:r>
        <w:t xml:space="preserve"> u iznosu od 171.444,77 eura. Kako </w:t>
      </w:r>
      <w:proofErr w:type="spellStart"/>
      <w:r>
        <w:t>Akademis</w:t>
      </w:r>
      <w:proofErr w:type="spellEnd"/>
      <w:r>
        <w:t xml:space="preserve"> nije poslovao od početka 2024., kao što je slučaj u 2025. vidljivo je značajno povećanje u ostvarenim prihodima 2025. koji iznose 354.825,51 euro.</w:t>
      </w:r>
    </w:p>
    <w:p w:rsidR="00275A40" w:rsidRDefault="00D16298">
      <w:r>
        <w:t xml:space="preserve">Svrha </w:t>
      </w:r>
      <w:proofErr w:type="spellStart"/>
      <w:r>
        <w:t>Akademisa</w:t>
      </w:r>
      <w:proofErr w:type="spellEnd"/>
      <w:r>
        <w:t xml:space="preserve"> je učenje temeljeno na radu u stvarnim uvjetima i sa stvarnim gostima. U </w:t>
      </w:r>
      <w:proofErr w:type="spellStart"/>
      <w:r>
        <w:t>Akademisu</w:t>
      </w:r>
      <w:proofErr w:type="spellEnd"/>
      <w:r>
        <w:t xml:space="preserve"> se time ostvaruju prihodi na tržištu kao gospodarska djelatnost. Prihodi prelaze prag za ulazak u sustav PDV-a i škola je obveznik PDV-a.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9.156,20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173,7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Prihodi na poziciji 663 odnose se poglavito na donacije turističkih agencija za financiranje pedagoških pratnja na ekskurzijama. Ostvareni iznos u izvještajnoj godini je 9.156,20 eura što je povećanje od 73,7% u odnosu na prethodnu godinu.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348.946,03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389.474,93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Povećanje prihoda odnosi se sredstva za kamate za kredit HBOR-a.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1.180.285,48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3,2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Prihodi iz nadležnog proračuna za financiranje rashoda za nabavu nefinancijske imovine smanjeni su u značajnoj mjeri zbog završetka projekta izgradnje i opremanja sportske dvorane u 2024. godini kada su iznosili 1.180.285,48 eura. </w:t>
      </w:r>
      <w:proofErr w:type="spellStart"/>
      <w:r>
        <w:t>Ostavareni</w:t>
      </w:r>
      <w:proofErr w:type="spellEnd"/>
      <w:r>
        <w:t xml:space="preserve"> iznos od 37.500,00 eura u 2025. godini odnosi se na nabavu opreme, točnije </w:t>
      </w:r>
      <w:proofErr w:type="spellStart"/>
      <w:r>
        <w:t>brisoleja</w:t>
      </w:r>
      <w:proofErr w:type="spellEnd"/>
      <w:r>
        <w:t>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izdataka za financijsku imovinu i otplatu zajmova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350.767,44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U izvještajnom razdoblju započeta je otplata kredita HBOR-a, te se prihodi na računu 6714 u iznosu 350.767,44 eura odnose na sredstva za otplatu glavnice kredita u 4 obroka tokom izvještajne godine.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161.978,48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219.595,88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Rashodi za materijal i energiju ostvareni su u iznosu 219.595,88 eura, što je 35% više u odnosu na prethodno izvještajno razdoblje. Razlog tome je povećana potrošnja namirnica, energenata i komunalnih usluga u </w:t>
      </w:r>
      <w:proofErr w:type="spellStart"/>
      <w:r>
        <w:t>Akademisu</w:t>
      </w:r>
      <w:proofErr w:type="spellEnd"/>
      <w:r>
        <w:t xml:space="preserve"> koji nije uspostavljen od početka 2024. godine, dok je u 2025. godini poslovao cijelu godinu. Također je nabavljeno sitnog inventara za potrebe </w:t>
      </w:r>
      <w:proofErr w:type="spellStart"/>
      <w:r>
        <w:t>Akademisa</w:t>
      </w:r>
      <w:proofErr w:type="spellEnd"/>
      <w:r>
        <w:t xml:space="preserve"> u vrijednosti od 15. 913,46 eura što je također povećanje u odnosu na 2024. godinu.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205.213,80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144.678,13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70,5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Rashodi za usluge iznosili su 144.678,13 eura u 2025. godini. Vidljivo je smanjenje od 30% zbog povećanih rashoda u 2024. godini na poziciji usluga tekućeg i investicijskog održavanja kada se provodio servis strojarske opreme zgrade.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55.815,20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Naknade </w:t>
      </w:r>
      <w:proofErr w:type="spellStart"/>
      <w:r>
        <w:t>troškovama</w:t>
      </w:r>
      <w:proofErr w:type="spellEnd"/>
      <w:r>
        <w:t xml:space="preserve"> osobama izvan radnog odnosa ostvarene su u iznosu 55.815,20 eura, a odnose se na troškove naknada učenicima na praksi koji obavljaju stručnu praksu u </w:t>
      </w:r>
      <w:proofErr w:type="spellStart"/>
      <w:r>
        <w:t>Akademisu</w:t>
      </w:r>
      <w:proofErr w:type="spellEnd"/>
      <w:r>
        <w:t>. U 2024. godini nagrade učenicima evidentirane su unutar računa 329 Ostali nespomenuti rashodi poslovanja.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25,3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Ostali nespomenuti rashodi poslovanja iznose 7.428,58 eura u 2025. Značajno su niži u odnosu na 2024. godinu kada su se u okviru računa 329 evidentirale nagrade učenicima koje su u 2025. godine evidentirane na računu 324 Naknade osobama izvan radnog odnosa.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78.109,23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64.177,68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Financijski rashodi u 2025. u iznosu 64.177,68 eura odnose se na rashode za kamate na kredit HBOR te bankarske i usluge platnog prometa.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3.728.351,80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Pomoći dane u inozemstvo i unutar općeg proračuna u 2024. godini iznosile su 3.558.139,75 eura  što je iznos  povrata </w:t>
      </w:r>
      <w:proofErr w:type="spellStart"/>
      <w:r>
        <w:t>revolving</w:t>
      </w:r>
      <w:proofErr w:type="spellEnd"/>
      <w:r>
        <w:t xml:space="preserve"> kredita  u cijelosti  u KZŽ- u , korišten za </w:t>
      </w:r>
      <w:proofErr w:type="spellStart"/>
      <w:r>
        <w:t>predfinanciranje</w:t>
      </w:r>
      <w:proofErr w:type="spellEnd"/>
      <w:r>
        <w:t xml:space="preserve"> Projekta 1. i Projekta 2. U 2025. godini  evidentirano je tek 1908,00 eura, a odnosi se na higijenske potrepštine.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Naknade u okviru računa 3721 u iznosu 1.756,00 eura odnose se na nagrade učenicima.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1.661.266,35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41.819,11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Nabava proizvedene dugotrajne imovine je značajno manja u 2025. godini zbog toga što je u 2024. godini završena izgradnja sportske dvorane i njeno opremanje gdje su evidentirani na to vezani rashodi.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256.168,83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Odnose se na obračunate prihode za plaću za 12/2025 koji će se naplatiti u 1/2026. Zbog razlika u načinu evidentiranja u odnosu na prošlu godinu, a u skladu s uputama ostvareno je povećanje u odnosu na prethodni izvještaj.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350.767,44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U travnju 2025. godine nakon isteka počeka započeta je otplata zajma HBOR-u. Izdaci za nefinancijsku imovinu i otplatu zajmova iznosili su u </w:t>
      </w:r>
      <w:proofErr w:type="spellStart"/>
      <w:r>
        <w:t>uzvještajnom</w:t>
      </w:r>
      <w:proofErr w:type="spellEnd"/>
      <w:r>
        <w:t xml:space="preserve"> razdoblju 350.767,44 eura, a odnose se na otplatu glavnice kredita u 4 obroka od po 87.691,86 eura.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14.672.849,82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14.111.901,79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lastRenderedPageBreak/>
        <w:t>U 2025. godini nabavljena je dugotrajna imovina u iznosu 41.819,11 eura te sitni inventar u iznosu 16.732,10 eura.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788"/>
        <w:gridCol w:w="4403"/>
        <w:gridCol w:w="3097"/>
      </w:tblGrid>
      <w:tr w:rsidR="00275A40">
        <w:tc>
          <w:tcPr>
            <w:tcW w:w="963" w:type="pct"/>
            <w:vAlign w:val="center"/>
          </w:tcPr>
          <w:p w:rsidR="00275A40" w:rsidRDefault="00D16298">
            <w:r>
              <w:t> </w:t>
            </w:r>
          </w:p>
        </w:tc>
        <w:tc>
          <w:tcPr>
            <w:tcW w:w="2369" w:type="pct"/>
            <w:vAlign w:val="center"/>
          </w:tcPr>
          <w:p w:rsidR="00275A40" w:rsidRDefault="00D16298">
            <w:r>
              <w:rPr>
                <w:b/>
              </w:rPr>
              <w:t>NABAVA DUGOTRAJNE IMOVINE I SITNOG INVENTARA - 2025.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 </w:t>
            </w:r>
          </w:p>
        </w:tc>
      </w:tr>
      <w:tr w:rsidR="00275A40">
        <w:trPr>
          <w:trHeight w:val="540"/>
        </w:trPr>
        <w:tc>
          <w:tcPr>
            <w:tcW w:w="963" w:type="pct"/>
            <w:vAlign w:val="center"/>
          </w:tcPr>
          <w:p w:rsidR="00275A40" w:rsidRDefault="00D16298">
            <w:r>
              <w:t>02211</w:t>
            </w:r>
          </w:p>
        </w:tc>
        <w:tc>
          <w:tcPr>
            <w:tcW w:w="2369" w:type="pct"/>
            <w:vAlign w:val="center"/>
          </w:tcPr>
          <w:p w:rsidR="00275A40" w:rsidRDefault="00D16298">
            <w:r>
              <w:t>RAČUNALA I RAČUNALNA OPREMA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324,79 EUR</w:t>
            </w:r>
          </w:p>
        </w:tc>
      </w:tr>
      <w:tr w:rsidR="00275A40">
        <w:trPr>
          <w:trHeight w:val="1020"/>
        </w:trPr>
        <w:tc>
          <w:tcPr>
            <w:tcW w:w="963" w:type="pct"/>
            <w:vAlign w:val="center"/>
          </w:tcPr>
          <w:p w:rsidR="00275A40" w:rsidRDefault="00D16298">
            <w:r>
              <w:t>02273</w:t>
            </w:r>
          </w:p>
        </w:tc>
        <w:tc>
          <w:tcPr>
            <w:tcW w:w="2369" w:type="pct"/>
            <w:vAlign w:val="center"/>
          </w:tcPr>
          <w:p w:rsidR="00275A40" w:rsidRDefault="00D16298">
            <w:r>
              <w:t>OPREMA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40.667,00 EUR</w:t>
            </w:r>
          </w:p>
        </w:tc>
      </w:tr>
      <w:tr w:rsidR="00275A40">
        <w:trPr>
          <w:trHeight w:val="540"/>
        </w:trPr>
        <w:tc>
          <w:tcPr>
            <w:tcW w:w="963" w:type="pct"/>
            <w:vAlign w:val="center"/>
          </w:tcPr>
          <w:p w:rsidR="00275A40" w:rsidRDefault="00D16298">
            <w:r>
              <w:t>02411</w:t>
            </w:r>
          </w:p>
        </w:tc>
        <w:tc>
          <w:tcPr>
            <w:tcW w:w="2369" w:type="pct"/>
            <w:vAlign w:val="center"/>
          </w:tcPr>
          <w:p w:rsidR="00275A40" w:rsidRDefault="00D16298">
            <w:r>
              <w:t>KNJIGE U KNJIŽNICAMA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827,32 EUR</w:t>
            </w:r>
          </w:p>
        </w:tc>
      </w:tr>
      <w:tr w:rsidR="00275A40">
        <w:trPr>
          <w:trHeight w:val="540"/>
        </w:trPr>
        <w:tc>
          <w:tcPr>
            <w:tcW w:w="963" w:type="pct"/>
            <w:vAlign w:val="center"/>
          </w:tcPr>
          <w:p w:rsidR="00275A40" w:rsidRDefault="00D16298">
            <w:r>
              <w:t>04211</w:t>
            </w:r>
          </w:p>
        </w:tc>
        <w:tc>
          <w:tcPr>
            <w:tcW w:w="2369" w:type="pct"/>
            <w:vAlign w:val="center"/>
          </w:tcPr>
          <w:p w:rsidR="00275A40" w:rsidRDefault="00D16298">
            <w:r>
              <w:t>SITAN INVENTAR U UPOTREBI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16.732,10 EUR</w:t>
            </w:r>
          </w:p>
        </w:tc>
      </w:tr>
      <w:tr w:rsidR="00275A40">
        <w:tc>
          <w:tcPr>
            <w:tcW w:w="963" w:type="pct"/>
            <w:vAlign w:val="center"/>
          </w:tcPr>
          <w:p w:rsidR="00275A40" w:rsidRDefault="00D16298">
            <w:r>
              <w:t> </w:t>
            </w:r>
          </w:p>
        </w:tc>
        <w:tc>
          <w:tcPr>
            <w:tcW w:w="2369" w:type="pct"/>
            <w:vAlign w:val="center"/>
          </w:tcPr>
          <w:p w:rsidR="00275A40" w:rsidRDefault="00D16298">
            <w:r>
              <w:rPr>
                <w:b/>
              </w:rPr>
              <w:t>UKUPNO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58.551,21 EUR</w:t>
            </w:r>
          </w:p>
        </w:tc>
      </w:tr>
    </w:tbl>
    <w:p w:rsidR="00275A40" w:rsidRDefault="00D16298">
      <w:r>
        <w:t xml:space="preserve">Početkom 2025. godine prema prijedlogu inventurne komisije rashodovanje dugotrajne imovine iznosi 68.119,38 eura od čega donirana oprema učeničkom domu </w:t>
      </w:r>
      <w:proofErr w:type="spellStart"/>
      <w:r>
        <w:t>Zajezda</w:t>
      </w:r>
      <w:proofErr w:type="spellEnd"/>
      <w:r>
        <w:t xml:space="preserve"> iznosi 24.083,33 eura. Navedene vrijednosti su nabavne vrijednosti, a imovina je u prethodno u cijelosti amortizirana i nema sadašnju vrijednost.</w:t>
      </w:r>
    </w:p>
    <w:p w:rsidR="00275A40" w:rsidRDefault="00D16298">
      <w:r>
        <w:t>S 31.12.2025. prema prijedlogu i odluci inventurne komisije isknjižen je sitni inventar u vrijednosti 15.924,19 eura.</w:t>
      </w:r>
    </w:p>
    <w:p w:rsidR="00275A40" w:rsidRDefault="00D16298">
      <w:r>
        <w:t>U 2025. amortizacijom je ispravljena vrijednost u iznosu 603.775,01 euro.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95"/>
        <w:gridCol w:w="5296"/>
        <w:gridCol w:w="3097"/>
      </w:tblGrid>
      <w:tr w:rsidR="00275A40">
        <w:trPr>
          <w:trHeight w:val="1212"/>
        </w:trPr>
        <w:tc>
          <w:tcPr>
            <w:tcW w:w="482" w:type="pct"/>
            <w:vAlign w:val="center"/>
          </w:tcPr>
          <w:p w:rsidR="00275A40" w:rsidRDefault="00D16298">
            <w:r>
              <w:t> </w:t>
            </w:r>
          </w:p>
        </w:tc>
        <w:tc>
          <w:tcPr>
            <w:tcW w:w="2850" w:type="pct"/>
            <w:vAlign w:val="center"/>
          </w:tcPr>
          <w:p w:rsidR="00275A40" w:rsidRDefault="00D16298">
            <w:r>
              <w:rPr>
                <w:b/>
              </w:rPr>
              <w:t>ISPRAVAK VRIJEDNOSTI TEMELJEM AMORTIZACIJE - 2025.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 </w:t>
            </w:r>
          </w:p>
        </w:tc>
      </w:tr>
      <w:tr w:rsidR="00275A40">
        <w:trPr>
          <w:trHeight w:val="540"/>
        </w:trPr>
        <w:tc>
          <w:tcPr>
            <w:tcW w:w="482" w:type="pct"/>
            <w:vAlign w:val="center"/>
          </w:tcPr>
          <w:p w:rsidR="00275A40" w:rsidRDefault="00D16298">
            <w:r>
              <w:t>02921</w:t>
            </w:r>
          </w:p>
        </w:tc>
        <w:tc>
          <w:tcPr>
            <w:tcW w:w="2850" w:type="pct"/>
            <w:vAlign w:val="center"/>
          </w:tcPr>
          <w:p w:rsidR="00275A40" w:rsidRDefault="00D16298">
            <w:r>
              <w:t>ISPRAVAK VRIJEDNOSTI GRAĐEVINSKIH OBJEKATA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162.539,07 EUR</w:t>
            </w:r>
          </w:p>
        </w:tc>
      </w:tr>
      <w:tr w:rsidR="00275A40">
        <w:trPr>
          <w:trHeight w:val="540"/>
        </w:trPr>
        <w:tc>
          <w:tcPr>
            <w:tcW w:w="482" w:type="pct"/>
            <w:vAlign w:val="center"/>
          </w:tcPr>
          <w:p w:rsidR="00275A40" w:rsidRDefault="00D16298">
            <w:r>
              <w:t>02922</w:t>
            </w:r>
          </w:p>
        </w:tc>
        <w:tc>
          <w:tcPr>
            <w:tcW w:w="2850" w:type="pct"/>
            <w:vAlign w:val="center"/>
          </w:tcPr>
          <w:p w:rsidR="00275A40" w:rsidRDefault="00D16298">
            <w:r>
              <w:t>ISPRAVAK VRIJEDNOSTI POSTROJENJA I OPREME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435.603,27 EUR</w:t>
            </w:r>
          </w:p>
        </w:tc>
      </w:tr>
      <w:tr w:rsidR="00275A40">
        <w:trPr>
          <w:trHeight w:val="540"/>
        </w:trPr>
        <w:tc>
          <w:tcPr>
            <w:tcW w:w="482" w:type="pct"/>
            <w:vAlign w:val="center"/>
          </w:tcPr>
          <w:p w:rsidR="00275A40" w:rsidRDefault="00D16298">
            <w:r>
              <w:t>02923</w:t>
            </w:r>
          </w:p>
        </w:tc>
        <w:tc>
          <w:tcPr>
            <w:tcW w:w="2850" w:type="pct"/>
            <w:vAlign w:val="center"/>
          </w:tcPr>
          <w:p w:rsidR="00275A40" w:rsidRDefault="00D16298">
            <w:r>
              <w:t>ISPRAVAK VRIJEDNOSTI PRIJEVOZNIH SREDSTAVA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4.805,35 EUR</w:t>
            </w:r>
          </w:p>
        </w:tc>
      </w:tr>
      <w:tr w:rsidR="00275A40">
        <w:trPr>
          <w:trHeight w:val="540"/>
        </w:trPr>
        <w:tc>
          <w:tcPr>
            <w:tcW w:w="482" w:type="pct"/>
            <w:vAlign w:val="center"/>
          </w:tcPr>
          <w:p w:rsidR="00275A40" w:rsidRDefault="00D16298">
            <w:r>
              <w:t>02924</w:t>
            </w:r>
          </w:p>
        </w:tc>
        <w:tc>
          <w:tcPr>
            <w:tcW w:w="2850" w:type="pct"/>
            <w:vAlign w:val="center"/>
          </w:tcPr>
          <w:p w:rsidR="00275A40" w:rsidRDefault="00D16298">
            <w:r>
              <w:t>ISPRAVAK VRIJEDNOSTI KNJIGA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827,32 EUR</w:t>
            </w:r>
          </w:p>
        </w:tc>
      </w:tr>
      <w:tr w:rsidR="00275A40">
        <w:trPr>
          <w:trHeight w:val="540"/>
        </w:trPr>
        <w:tc>
          <w:tcPr>
            <w:tcW w:w="482" w:type="pct"/>
            <w:vAlign w:val="center"/>
          </w:tcPr>
          <w:p w:rsidR="00275A40" w:rsidRDefault="00D16298">
            <w:r>
              <w:t> </w:t>
            </w:r>
          </w:p>
        </w:tc>
        <w:tc>
          <w:tcPr>
            <w:tcW w:w="2850" w:type="pct"/>
            <w:vAlign w:val="center"/>
          </w:tcPr>
          <w:p w:rsidR="00275A40" w:rsidRDefault="00D16298">
            <w:r>
              <w:rPr>
                <w:b/>
              </w:rPr>
              <w:t>UKUPNO</w:t>
            </w:r>
          </w:p>
        </w:tc>
        <w:tc>
          <w:tcPr>
            <w:tcW w:w="1666" w:type="pct"/>
            <w:vAlign w:val="center"/>
          </w:tcPr>
          <w:p w:rsidR="00275A40" w:rsidRDefault="00D16298">
            <w:pPr>
              <w:keepNext/>
              <w:jc w:val="right"/>
            </w:pPr>
            <w:r>
              <w:t>603.775,01 EUR</w:t>
            </w:r>
          </w:p>
        </w:tc>
      </w:tr>
    </w:tbl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kratkotrajna imovina (šifre 061 do 065)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Povećanje proizvedene kratkotrajne imovine odnosi se na povećanje zaliha namirnica u </w:t>
      </w:r>
      <w:proofErr w:type="spellStart"/>
      <w:r>
        <w:t>Akademisu</w:t>
      </w:r>
      <w:proofErr w:type="spellEnd"/>
      <w:r>
        <w:t xml:space="preserve"> u odnosu na stanje 1. siječnja. Razlog tome je što </w:t>
      </w:r>
      <w:proofErr w:type="spellStart"/>
      <w:r>
        <w:t>Akademis</w:t>
      </w:r>
      <w:proofErr w:type="spellEnd"/>
      <w:r>
        <w:t xml:space="preserve"> nije radio u periodu </w:t>
      </w:r>
      <w:r>
        <w:lastRenderedPageBreak/>
        <w:t xml:space="preserve">od 20.12.2025. do kraja godine zbog korištenja godišnjeg odmora i prilagodbe sustava na prijelaz u punu riznicu, zamjene POS aparata i uvođenja </w:t>
      </w:r>
      <w:proofErr w:type="spellStart"/>
      <w:r>
        <w:t>fiskalizacije</w:t>
      </w:r>
      <w:proofErr w:type="spellEnd"/>
      <w:r>
        <w:t xml:space="preserve"> 2.0 u programska rješenja hotela i restorana pa se namirnice nisu uspjele potrošiti. Utrošene su u siječnju nakon ponovne uspostave poslovanja.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79.453,84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89.867,55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Novac u banci i blagajni povećan je u odnosu na početno stanje zbog priljeva sredstava za </w:t>
      </w:r>
      <w:proofErr w:type="spellStart"/>
      <w:r>
        <w:t>Erasmus</w:t>
      </w:r>
      <w:proofErr w:type="spellEnd"/>
      <w:r>
        <w:t xml:space="preserve">, te za projekt Kaj su jeli naši stari. Blagajna škole je zatvorena te su sredstva tokom godine prebačena na žiro račun koji je s krajem godine zatvoren zbog prelaska u punu riznicu. U Blagajni je još ostalo 1.000,00 eura koji se odnose na novčane </w:t>
      </w:r>
      <w:proofErr w:type="spellStart"/>
      <w:r>
        <w:t>pologe</w:t>
      </w:r>
      <w:proofErr w:type="spellEnd"/>
      <w:r>
        <w:t xml:space="preserve"> u blagajni restorana i recepcije </w:t>
      </w:r>
      <w:proofErr w:type="spellStart"/>
      <w:r>
        <w:t>Akademisa</w:t>
      </w:r>
      <w:proofErr w:type="spellEnd"/>
      <w:r>
        <w:t xml:space="preserve"> a koji su potrebni za obavljanje gotovinske naplate usluga.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Odnose se na potraživanja za više plaćene poreze prema GOP-u u iznosu 934,89 eura te potraživanja za bolovanje na teret HZZO-a u iznosu 7.877,94 eura.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251.022,84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Odnosi se na potraživanja prihoda za plaće. Zbog razlika u načinu evidentiranja u 2024. godini nisu bila iskazana.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176,2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Potraživanja za prihode od prodaje odnose se na fakture koje nisu naplaćene do 31.12.2025. godine, a to su: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75A40">
        <w:trPr>
          <w:trHeight w:val="540"/>
        </w:trPr>
        <w:tc>
          <w:tcPr>
            <w:tcW w:w="1666" w:type="pct"/>
            <w:vAlign w:val="center"/>
          </w:tcPr>
          <w:p w:rsidR="00275A40" w:rsidRDefault="00D16298">
            <w:r>
              <w:t>DOKUMENT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KUPAC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IZNOS</w:t>
            </w:r>
          </w:p>
        </w:tc>
      </w:tr>
      <w:tr w:rsidR="00275A40">
        <w:trPr>
          <w:trHeight w:val="540"/>
        </w:trPr>
        <w:tc>
          <w:tcPr>
            <w:tcW w:w="1666" w:type="pct"/>
            <w:vAlign w:val="center"/>
          </w:tcPr>
          <w:p w:rsidR="00275A40" w:rsidRDefault="00D16298">
            <w:r>
              <w:t>IRA 1053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SPAZ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550,00</w:t>
            </w:r>
          </w:p>
        </w:tc>
      </w:tr>
      <w:tr w:rsidR="00275A40">
        <w:trPr>
          <w:trHeight w:val="540"/>
        </w:trPr>
        <w:tc>
          <w:tcPr>
            <w:tcW w:w="1666" w:type="pct"/>
            <w:vAlign w:val="center"/>
          </w:tcPr>
          <w:p w:rsidR="00275A40" w:rsidRDefault="00D16298">
            <w:r>
              <w:t>IRA 730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SATO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150,50</w:t>
            </w:r>
          </w:p>
        </w:tc>
      </w:tr>
      <w:tr w:rsidR="00275A40">
        <w:trPr>
          <w:trHeight w:val="540"/>
        </w:trPr>
        <w:tc>
          <w:tcPr>
            <w:tcW w:w="1666" w:type="pct"/>
            <w:vAlign w:val="center"/>
          </w:tcPr>
          <w:p w:rsidR="00275A40" w:rsidRDefault="00D16298">
            <w:r>
              <w:t>IRA 961, 971, 973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REGEA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3.048,11</w:t>
            </w:r>
          </w:p>
        </w:tc>
      </w:tr>
      <w:tr w:rsidR="00275A40">
        <w:tc>
          <w:tcPr>
            <w:tcW w:w="1666" w:type="pct"/>
            <w:vAlign w:val="center"/>
          </w:tcPr>
          <w:p w:rsidR="00275A40" w:rsidRDefault="00D16298">
            <w:r>
              <w:t>IRA 1052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SALSADOS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180,00</w:t>
            </w:r>
          </w:p>
        </w:tc>
      </w:tr>
      <w:tr w:rsidR="00275A40">
        <w:tc>
          <w:tcPr>
            <w:tcW w:w="1666" w:type="pct"/>
            <w:vAlign w:val="center"/>
          </w:tcPr>
          <w:p w:rsidR="00275A40" w:rsidRDefault="00D16298">
            <w:r>
              <w:t>IRA 781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FACC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462,00</w:t>
            </w:r>
          </w:p>
        </w:tc>
      </w:tr>
      <w:tr w:rsidR="00275A40">
        <w:tc>
          <w:tcPr>
            <w:tcW w:w="1666" w:type="pct"/>
            <w:vAlign w:val="center"/>
          </w:tcPr>
          <w:p w:rsidR="00275A40" w:rsidRDefault="00D16298">
            <w:r>
              <w:t>IRA 1054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DVD ZABOK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90,00</w:t>
            </w:r>
          </w:p>
        </w:tc>
      </w:tr>
      <w:tr w:rsidR="00275A40">
        <w:tc>
          <w:tcPr>
            <w:tcW w:w="1666" w:type="pct"/>
            <w:vAlign w:val="center"/>
          </w:tcPr>
          <w:p w:rsidR="00275A40" w:rsidRDefault="00D16298">
            <w:r>
              <w:t>IRA 1021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VIAJES EL CORTE INGLES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1.321,45</w:t>
            </w:r>
          </w:p>
        </w:tc>
      </w:tr>
      <w:tr w:rsidR="00275A40">
        <w:tc>
          <w:tcPr>
            <w:tcW w:w="1666" w:type="pct"/>
            <w:vAlign w:val="center"/>
          </w:tcPr>
          <w:p w:rsidR="00275A40" w:rsidRDefault="00D16298">
            <w:r>
              <w:t> 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UKUPNO</w:t>
            </w:r>
          </w:p>
        </w:tc>
        <w:tc>
          <w:tcPr>
            <w:tcW w:w="1666" w:type="pct"/>
            <w:vAlign w:val="center"/>
          </w:tcPr>
          <w:p w:rsidR="00275A40" w:rsidRDefault="00D16298">
            <w:r>
              <w:t>5802,06</w:t>
            </w:r>
          </w:p>
        </w:tc>
      </w:tr>
    </w:tbl>
    <w:p w:rsidR="00275A40" w:rsidRDefault="00D16298">
      <w:r>
        <w:t>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195.306,87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256.012,07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Obveze za zaposlene veće su 30% u odnosu na stanje od 1.1.2025., razlog tome je veći broj zaposlenih čime su povećani i rashodi za zaposlene.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Povećanje se očituje i rastu cijena energenata i neplaniranim troškovima održavanja.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11.994,59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Odnose se na obveze za PDV po obračunu za prosinac 2024. i obveze za porez po GOP-u.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4.910.743,89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4.559.976,45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Obveze za kredite i zajmove bilježe smanjenje zbog </w:t>
      </w:r>
      <w:proofErr w:type="spellStart"/>
      <w:r>
        <w:t>poćetka</w:t>
      </w:r>
      <w:proofErr w:type="spellEnd"/>
      <w:r>
        <w:t xml:space="preserve"> otplate kredita HBOR u 2025. godini.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63.706,69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-250.331,22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-392,9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Poslovni rezultat 2025. godine je manjak u iznosu 250.331,22 eura i pokr</w:t>
      </w:r>
      <w:r w:rsidR="00F044C9">
        <w:t>i</w:t>
      </w:r>
      <w:r>
        <w:t>ti će se iz prenesenih viškova. </w:t>
      </w:r>
      <w:bookmarkStart w:id="0" w:name="_GoBack"/>
      <w:bookmarkEnd w:id="0"/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256.168,83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Iznos od 256.168,83 eura odnosi se na prihode za plaće za 12. mjesec. Razlika u odnosu na početno stanje je u promjeni načina evidentiranja navedenih prihoda.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228,5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Obračunati ostali prihodi odnose se na prihode od prodaje proizvoda i robe te pruženih usluga koji nisu naplaćeni u 2025. godini. U bilješci kod računa 966 navedeno je o kojim potraživanjima je riječ. Razlika u iznosu između 166 i 966 je iznos poreza jer je škola u sustavu PDV-a.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256.824,90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7801,2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potraživanja za plaće za 12. mjesec 2025. i nedospjele fakture za obavljene usluge.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61.931,20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Primljeni predujam za </w:t>
      </w:r>
      <w:proofErr w:type="spellStart"/>
      <w:r>
        <w:t>Erasmus</w:t>
      </w:r>
      <w:proofErr w:type="spellEnd"/>
      <w:r>
        <w:t xml:space="preserve"> + projekt, zbog promjene u načinu evidentiranja nalazi se na obvezama za EU predujmove, dok se ranijih godina evidentirao kao prihod.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5.645.332,55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U 2025. u </w:t>
      </w:r>
      <w:proofErr w:type="spellStart"/>
      <w:r>
        <w:t>izvanbilančnu</w:t>
      </w:r>
      <w:proofErr w:type="spellEnd"/>
      <w:r>
        <w:t xml:space="preserve"> evidenciju </w:t>
      </w:r>
      <w:proofErr w:type="spellStart"/>
      <w:r>
        <w:t>doknjižene</w:t>
      </w:r>
      <w:proofErr w:type="spellEnd"/>
      <w:r>
        <w:t xml:space="preserve"> je dana zadužnica radi osiguranja </w:t>
      </w:r>
      <w:proofErr w:type="spellStart"/>
      <w:r>
        <w:t>tradžbina</w:t>
      </w:r>
      <w:proofErr w:type="spellEnd"/>
      <w:r>
        <w:t xml:space="preserve"> po kreditu HBOR-a na iznos 4.910.743,91 eura te bankovna garancija u iznosu 728.588,64 eura.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Ukupna vrijednost </w:t>
      </w:r>
      <w:proofErr w:type="spellStart"/>
      <w:r>
        <w:t>Erasmus</w:t>
      </w:r>
      <w:proofErr w:type="spellEnd"/>
      <w:r>
        <w:t xml:space="preserve"> + ugovora.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8.354.794,23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3.750.648,67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Funkcijska klasifikacija sadrži rashode razvrstane prema njihovoj namjeni. Prema funkcijskoj klasifikaciji razvrstavaju se rashodi poslovanja razreda 3 i rashodi za nabavu nefinancijske imovine razreda 4. </w:t>
      </w:r>
    </w:p>
    <w:p w:rsidR="00275A40" w:rsidRDefault="00D16298">
      <w:r>
        <w:t>Ukupno ostvareni rashodi u 2025. godini prikazuju se na funkciji 0922 - Više srednjoškolsko obrazovanje.</w:t>
      </w:r>
    </w:p>
    <w:p w:rsidR="00275A40" w:rsidRDefault="00D16298">
      <w:r>
        <w:t>U tekućoj godini vidi se značajno smanjenje u odnosu na prethodno razdoblje, a razlog navedenom je što je u 2024. završen projekt RCK i opremana sportska dvorana.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603.775,01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 xml:space="preserve">Novim Pravilnikom </w:t>
      </w:r>
      <w:proofErr w:type="spellStart"/>
      <w:r>
        <w:t>donešene</w:t>
      </w:r>
      <w:proofErr w:type="spellEnd"/>
      <w:r>
        <w:t xml:space="preserve"> su promjene u evidentiranju ispravka vrijednosti dugotrajne nefinancijske imovine. Shodno tome, provedeni ispravak vrijednosti </w:t>
      </w:r>
      <w:proofErr w:type="spellStart"/>
      <w:r>
        <w:t>unešen</w:t>
      </w:r>
      <w:proofErr w:type="spellEnd"/>
      <w:r>
        <w:t xml:space="preserve"> je u obrazac P-VRIO u okviru računa 91511 kao iznos smanjenja od 603.775,01 eura.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5.132.079,63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Početno stanje obveza na 1.1.2025. iznosi 5.132.079,63 eura, a odnosi se na </w:t>
      </w:r>
    </w:p>
    <w:p w:rsidR="00275A40" w:rsidRDefault="00D16298">
      <w:r>
        <w:t>Obveze za rashode poslovanja (23) iznose: 221.051,74 eura a odnose se na :</w:t>
      </w:r>
    </w:p>
    <w:p w:rsidR="00275A40" w:rsidRDefault="00D16298">
      <w:r>
        <w:t>-obveze za plaće za prosinac 2024. godine iznose 195.306,87 eura. Isplata je planirana za 9. siječnja 2025.</w:t>
      </w:r>
    </w:p>
    <w:p w:rsidR="00275A40" w:rsidRDefault="00D16298">
      <w:r>
        <w:t>-obveze za materijalne rashode u iznosu od 13.750,28 eura, s dospijećem do 31. siječnja 2025.</w:t>
      </w:r>
    </w:p>
    <w:p w:rsidR="00275A40" w:rsidRDefault="00D16298">
      <w:r>
        <w:t>-ostale tekuće nedospjele obveze: 11.994,59 </w:t>
      </w:r>
    </w:p>
    <w:p w:rsidR="00275A40" w:rsidRDefault="00D16298">
      <w:r>
        <w:t>-obveze za nabavu nefinancijske imovine (24) iznose 284,00 eura, a odnose se na nabavu udžbenika, s dospijećem u siječnju 2025. </w:t>
      </w:r>
    </w:p>
    <w:p w:rsidR="00275A40" w:rsidRDefault="00D16298">
      <w:r>
        <w:t>-nedospjele obveze po kreditu (26) u 2024. iznose 4.910.743,89 eura. Otplata kredita započinje u travnju 2025. godine.</w:t>
      </w:r>
    </w:p>
    <w:p w:rsidR="00275A40" w:rsidRDefault="00D16298">
      <w:r>
        <w:t>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Na kraju izvještajnog razdoblja nema dospjelih obveza.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75A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5A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275A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4.909.644,12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75A40" w:rsidRDefault="00D1629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75A40" w:rsidRDefault="00275A40">
      <w:pPr>
        <w:spacing w:after="0"/>
      </w:pPr>
    </w:p>
    <w:p w:rsidR="00275A40" w:rsidRDefault="00D16298">
      <w:r>
        <w:t>Stanje obveza na kraju izvještajnog razdoblja, odnosno 31.12.2025. iznosi 4.909.644,12 eura, a odnosi se na:</w:t>
      </w:r>
    </w:p>
    <w:p w:rsidR="00275A40" w:rsidRDefault="00D16298">
      <w:r>
        <w:t>Obveze za rashode poslovanja (23) iznose: 273.460,64 eura a odnose se na :</w:t>
      </w:r>
    </w:p>
    <w:p w:rsidR="00275A40" w:rsidRDefault="00D16298">
      <w:r>
        <w:t>-obveze za plaće za prosinac 2025. godine iznose 256.012,07 eura. Isplata je planirana za 9. siječnja 2026.</w:t>
      </w:r>
    </w:p>
    <w:p w:rsidR="00275A40" w:rsidRDefault="00D16298">
      <w:r>
        <w:lastRenderedPageBreak/>
        <w:t>-obveze za materijalne rashode u iznosu od 15.292,16 eura kako slijedi:</w:t>
      </w:r>
    </w:p>
    <w:p w:rsidR="00275A40" w:rsidRDefault="00D16298">
      <w:r>
        <w:t>naknade za službena putovanja: 1.472,07 eura,</w:t>
      </w:r>
      <w:r>
        <w:br/>
        <w:t>naknade za prijevoz na posao i s posla: 6.427,66 eura,</w:t>
      </w:r>
      <w:r>
        <w:br/>
        <w:t>rashodi za sitni inventar: 121,05 eura,</w:t>
      </w:r>
      <w:r>
        <w:br/>
        <w:t>rashodi za usluge: 6.772,64 eura</w:t>
      </w:r>
      <w:r>
        <w:br/>
        <w:t>ostali nespomenuti rashodi: 498,74 eura</w:t>
      </w:r>
    </w:p>
    <w:p w:rsidR="00275A40" w:rsidRDefault="00D16298">
      <w:r>
        <w:t>-ostale tekuće nedospjele obveze: 2156,41, a odnose se na:</w:t>
      </w:r>
    </w:p>
    <w:p w:rsidR="00275A40" w:rsidRDefault="00D16298">
      <w:r>
        <w:t>obveze za PDV po obračunu - 1.221,52 eura ,</w:t>
      </w:r>
      <w:r>
        <w:br/>
        <w:t>obveze za naplaćene tuđe prihode (porez po GOP) - 934,89 eura.   </w:t>
      </w:r>
      <w:r>
        <w:br/>
      </w:r>
      <w:r>
        <w:br/>
        <w:t>-obveze za kredite i zajmove: 4.559.976,45 eura.</w:t>
      </w:r>
    </w:p>
    <w:p w:rsidR="00275A40" w:rsidRDefault="00D16298">
      <w:r>
        <w:t>Otplata kredita započela u travnju 2025. godine prema otplatnom planu HBOR-a. </w:t>
      </w:r>
    </w:p>
    <w:p w:rsidR="00275A40" w:rsidRDefault="00D16298">
      <w:r>
        <w:t>Srednja škola Zabok nema dospjelih obveza. </w:t>
      </w:r>
    </w:p>
    <w:p w:rsidR="00275A40" w:rsidRDefault="00275A40"/>
    <w:p w:rsidR="00275A40" w:rsidRDefault="00D16298">
      <w:pPr>
        <w:keepNext/>
        <w:spacing w:line="240" w:lineRule="auto"/>
        <w:jc w:val="center"/>
      </w:pPr>
      <w:r>
        <w:rPr>
          <w:sz w:val="28"/>
        </w:rPr>
        <w:t>Bilješka 44.</w:t>
      </w:r>
    </w:p>
    <w:p w:rsidR="00275A40" w:rsidRDefault="00D16298">
      <w:pPr>
        <w:spacing w:line="240" w:lineRule="auto"/>
        <w:jc w:val="both"/>
      </w:pPr>
      <w:r>
        <w:rPr>
          <w:b/>
        </w:rPr>
        <w:t>EU izvještaj</w:t>
      </w:r>
    </w:p>
    <w:p w:rsidR="00275A40" w:rsidRDefault="00D16298">
      <w:r>
        <w:t xml:space="preserve">Eu izvještajem obuhvaća </w:t>
      </w:r>
      <w:proofErr w:type="spellStart"/>
      <w:r>
        <w:t>prijekt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+. Prihodi poslovanja od 15.756,80 eura odnose se na povrat 20% iznosa projekta nakon predaje završnog izvješća za projekt broj 2023-1-HR01-KA122-VET-000130177.</w:t>
      </w:r>
    </w:p>
    <w:p w:rsidR="00275A40" w:rsidRDefault="00D16298">
      <w:r>
        <w:t xml:space="preserve">U 2025. godini krenuo je i novi projekt </w:t>
      </w:r>
      <w:proofErr w:type="spellStart"/>
      <w:r>
        <w:t>Erasmus</w:t>
      </w:r>
      <w:proofErr w:type="spellEnd"/>
      <w:r>
        <w:t xml:space="preserve"> +. Ugovoreni iznos od 77.414,00 eura prema novoj metodologiji evidentiranja vodi se u </w:t>
      </w:r>
      <w:proofErr w:type="spellStart"/>
      <w:r>
        <w:t>izvanbilančnoj</w:t>
      </w:r>
      <w:proofErr w:type="spellEnd"/>
      <w:r>
        <w:t xml:space="preserve"> evidenciji. </w:t>
      </w:r>
    </w:p>
    <w:p w:rsidR="00275A40" w:rsidRDefault="00D16298">
      <w:r>
        <w:t>Uplaćeni predujam u vrijednosti 80% projekta 61.931,20 eura.</w:t>
      </w:r>
    </w:p>
    <w:p w:rsidR="00275A40" w:rsidRDefault="00D16298">
      <w:r>
        <w:t>Do kraja godine utrošeno je 44.960,00 eura</w:t>
      </w:r>
    </w:p>
    <w:p w:rsidR="00275A40" w:rsidRDefault="00275A40"/>
    <w:sectPr w:rsidR="00275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5A40"/>
    <w:rsid w:val="00275A40"/>
    <w:rsid w:val="00D16298"/>
    <w:rsid w:val="00F0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8CB9"/>
  <w15:docId w15:val="{175C7DD6-6749-4EF0-B79B-73555CC7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Natalija Tuđen</cp:lastModifiedBy>
  <cp:revision>2</cp:revision>
  <cp:lastPrinted>2026-02-04T12:20:00Z</cp:lastPrinted>
  <dcterms:created xsi:type="dcterms:W3CDTF">2026-02-04T12:01:00Z</dcterms:created>
  <dcterms:modified xsi:type="dcterms:W3CDTF">2026-02-04T12:21:00Z</dcterms:modified>
</cp:coreProperties>
</file>